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51DA8" w14:textId="77777777" w:rsidR="000D6FE5" w:rsidRPr="00C91740" w:rsidRDefault="003E4A05" w:rsidP="0081457B">
      <w:pPr>
        <w:rPr>
          <w:rFonts w:ascii="Arial" w:hAnsi="Arial" w:cs="Arial"/>
          <w:b/>
          <w:bCs/>
          <w:sz w:val="28"/>
          <w:szCs w:val="28"/>
        </w:rPr>
      </w:pPr>
      <w:r w:rsidRPr="00C91740">
        <w:rPr>
          <w:rFonts w:ascii="Arial" w:hAnsi="Arial" w:cs="Arial"/>
          <w:b/>
          <w:bCs/>
          <w:sz w:val="28"/>
          <w:szCs w:val="28"/>
        </w:rPr>
        <w:t xml:space="preserve">Assessment and Consultation for </w:t>
      </w:r>
      <w:r w:rsidR="000D6FE5" w:rsidRPr="00C91740">
        <w:rPr>
          <w:rFonts w:ascii="Arial" w:hAnsi="Arial" w:cs="Arial"/>
          <w:b/>
          <w:bCs/>
          <w:sz w:val="28"/>
          <w:szCs w:val="28"/>
        </w:rPr>
        <w:t>Psychological Health and Safety</w:t>
      </w:r>
    </w:p>
    <w:p w14:paraId="22FF78B8" w14:textId="77777777" w:rsidR="003E4A05" w:rsidRPr="00F151D4" w:rsidRDefault="003E4A05" w:rsidP="0081457B">
      <w:pPr>
        <w:rPr>
          <w:rFonts w:ascii="Arial" w:hAnsi="Arial" w:cs="Arial"/>
          <w:sz w:val="22"/>
          <w:szCs w:val="22"/>
        </w:rPr>
      </w:pPr>
    </w:p>
    <w:p w14:paraId="3DC6F7A5" w14:textId="77777777" w:rsidR="00DB1981" w:rsidRPr="00F151D4" w:rsidRDefault="003E4A05" w:rsidP="0081457B">
      <w:pPr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>Element 14 - Workplace Violence, Harassment, and Psychological Health and Safety</w:t>
      </w:r>
    </w:p>
    <w:p w14:paraId="151755C0" w14:textId="77777777" w:rsidR="00DB1981" w:rsidRPr="00F151D4" w:rsidRDefault="00DB1981" w:rsidP="0081457B">
      <w:pPr>
        <w:rPr>
          <w:rFonts w:ascii="Arial" w:hAnsi="Arial" w:cs="Arial"/>
          <w:sz w:val="22"/>
          <w:szCs w:val="22"/>
        </w:rPr>
      </w:pPr>
    </w:p>
    <w:p w14:paraId="3B41744D" w14:textId="77777777" w:rsidR="0081457B" w:rsidRPr="00F151D4" w:rsidRDefault="00DB1981" w:rsidP="0081457B">
      <w:pPr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>14.6 Assess the workplace for psychological health and safety (PHS) hazards, in consultation with workers</w:t>
      </w:r>
      <w:r w:rsidR="0081457B" w:rsidRPr="00F151D4">
        <w:rPr>
          <w:rFonts w:ascii="Arial" w:hAnsi="Arial" w:cs="Arial"/>
          <w:sz w:val="22"/>
          <w:szCs w:val="22"/>
        </w:rPr>
        <w:t xml:space="preserve">. </w:t>
      </w:r>
    </w:p>
    <w:p w14:paraId="591787BC" w14:textId="77777777" w:rsidR="0081457B" w:rsidRPr="00F151D4" w:rsidRDefault="0081457B" w:rsidP="0081457B">
      <w:pPr>
        <w:rPr>
          <w:rFonts w:ascii="Arial" w:hAnsi="Arial" w:cs="Arial"/>
          <w:sz w:val="22"/>
          <w:szCs w:val="22"/>
        </w:rPr>
      </w:pPr>
    </w:p>
    <w:p w14:paraId="76BF285C" w14:textId="77777777" w:rsidR="0081457B" w:rsidRPr="00F151D4" w:rsidRDefault="0081457B" w:rsidP="0081457B">
      <w:pPr>
        <w:rPr>
          <w:rFonts w:ascii="Arial" w:hAnsi="Arial" w:cs="Arial"/>
          <w:sz w:val="22"/>
          <w:szCs w:val="22"/>
          <w:u w:val="single"/>
        </w:rPr>
      </w:pPr>
      <w:r w:rsidRPr="00F151D4">
        <w:rPr>
          <w:rFonts w:ascii="Arial" w:hAnsi="Arial" w:cs="Arial"/>
          <w:sz w:val="22"/>
          <w:szCs w:val="22"/>
          <w:u w:val="single"/>
        </w:rPr>
        <w:t>Consultation:</w:t>
      </w:r>
    </w:p>
    <w:p w14:paraId="1E7C554C" w14:textId="77777777" w:rsidR="00DB1981" w:rsidRPr="00F151D4" w:rsidRDefault="00DB1981" w:rsidP="0081457B">
      <w:pPr>
        <w:rPr>
          <w:rFonts w:ascii="Arial" w:hAnsi="Arial" w:cs="Arial"/>
          <w:sz w:val="22"/>
          <w:szCs w:val="22"/>
          <w:u w:val="single"/>
        </w:rPr>
      </w:pPr>
    </w:p>
    <w:p w14:paraId="22E11276" w14:textId="77777777" w:rsidR="00BE6C6C" w:rsidRPr="00F151D4" w:rsidRDefault="0081457B" w:rsidP="00BE6C6C">
      <w:pPr>
        <w:autoSpaceDE w:val="0"/>
        <w:autoSpaceDN w:val="0"/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 xml:space="preserve">Consultation and </w:t>
      </w:r>
      <w:r w:rsidR="00DB1981" w:rsidRPr="00F151D4">
        <w:rPr>
          <w:rFonts w:ascii="Arial" w:hAnsi="Arial" w:cs="Arial"/>
          <w:sz w:val="22"/>
          <w:szCs w:val="22"/>
        </w:rPr>
        <w:t xml:space="preserve">worker </w:t>
      </w:r>
      <w:r w:rsidRPr="00F151D4">
        <w:rPr>
          <w:rFonts w:ascii="Arial" w:hAnsi="Arial" w:cs="Arial"/>
          <w:sz w:val="22"/>
          <w:szCs w:val="22"/>
        </w:rPr>
        <w:t xml:space="preserve">participation are </w:t>
      </w:r>
      <w:r w:rsidR="00DB1981" w:rsidRPr="00F151D4">
        <w:rPr>
          <w:rFonts w:ascii="Arial" w:hAnsi="Arial" w:cs="Arial"/>
          <w:sz w:val="22"/>
          <w:szCs w:val="22"/>
        </w:rPr>
        <w:t>crucial</w:t>
      </w:r>
      <w:r w:rsidRPr="00F151D4">
        <w:rPr>
          <w:rFonts w:ascii="Arial" w:hAnsi="Arial" w:cs="Arial"/>
          <w:sz w:val="22"/>
          <w:szCs w:val="22"/>
        </w:rPr>
        <w:t xml:space="preserve"> </w:t>
      </w:r>
      <w:r w:rsidR="00DB1981" w:rsidRPr="00F151D4">
        <w:rPr>
          <w:rFonts w:ascii="Arial" w:hAnsi="Arial" w:cs="Arial"/>
          <w:sz w:val="22"/>
          <w:szCs w:val="22"/>
        </w:rPr>
        <w:t xml:space="preserve">to </w:t>
      </w:r>
      <w:r w:rsidRPr="00F151D4">
        <w:rPr>
          <w:rFonts w:ascii="Arial" w:hAnsi="Arial" w:cs="Arial"/>
          <w:sz w:val="22"/>
          <w:szCs w:val="22"/>
        </w:rPr>
        <w:t xml:space="preserve">the success of assessing psychosocial hazards in the workplace. </w:t>
      </w:r>
      <w:r w:rsidR="00DB1981" w:rsidRPr="00F151D4">
        <w:rPr>
          <w:rFonts w:ascii="Arial" w:hAnsi="Arial" w:cs="Arial"/>
          <w:sz w:val="22"/>
          <w:szCs w:val="22"/>
        </w:rPr>
        <w:t>Meaningful</w:t>
      </w:r>
      <w:r w:rsidR="00BE6C6C" w:rsidRPr="00F151D4">
        <w:rPr>
          <w:rFonts w:ascii="Arial" w:hAnsi="Arial" w:cs="Arial"/>
          <w:sz w:val="22"/>
          <w:szCs w:val="22"/>
        </w:rPr>
        <w:t xml:space="preserve"> involvement</w:t>
      </w:r>
      <w:r w:rsidR="00DB1981" w:rsidRPr="00F151D4">
        <w:rPr>
          <w:rFonts w:ascii="Arial" w:hAnsi="Arial" w:cs="Arial"/>
          <w:sz w:val="22"/>
          <w:szCs w:val="22"/>
        </w:rPr>
        <w:t xml:space="preserve"> of all workplace parties</w:t>
      </w:r>
      <w:r w:rsidR="00BE6C6C" w:rsidRPr="00F151D4">
        <w:rPr>
          <w:rFonts w:ascii="Arial" w:hAnsi="Arial" w:cs="Arial"/>
          <w:sz w:val="22"/>
          <w:szCs w:val="22"/>
        </w:rPr>
        <w:t xml:space="preserve"> is an important factor for the management of psychosocial risks in any organization. </w:t>
      </w:r>
    </w:p>
    <w:p w14:paraId="2F8E0825" w14:textId="77777777" w:rsidR="0081457B" w:rsidRPr="00F151D4" w:rsidRDefault="00E81C75" w:rsidP="0081457B">
      <w:pPr>
        <w:autoSpaceDE w:val="0"/>
        <w:autoSpaceDN w:val="0"/>
        <w:spacing w:after="180"/>
        <w:jc w:val="both"/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 xml:space="preserve">Workplaces </w:t>
      </w:r>
      <w:r w:rsidR="0081457B" w:rsidRPr="00F151D4">
        <w:rPr>
          <w:rFonts w:ascii="Arial" w:hAnsi="Arial" w:cs="Arial"/>
          <w:sz w:val="22"/>
          <w:szCs w:val="22"/>
        </w:rPr>
        <w:t>should:</w:t>
      </w:r>
    </w:p>
    <w:p w14:paraId="76DB2DA8" w14:textId="77777777" w:rsidR="0081457B" w:rsidRPr="00F151D4" w:rsidRDefault="0081457B" w:rsidP="0081457B">
      <w:pPr>
        <w:autoSpaceDE w:val="0"/>
        <w:autoSpaceDN w:val="0"/>
        <w:spacing w:after="180"/>
        <w:ind w:left="400"/>
        <w:jc w:val="both"/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 xml:space="preserve">a) provide </w:t>
      </w:r>
      <w:r w:rsidR="00E81C75" w:rsidRPr="00F151D4">
        <w:rPr>
          <w:rFonts w:ascii="Arial" w:hAnsi="Arial" w:cs="Arial"/>
          <w:sz w:val="22"/>
          <w:szCs w:val="22"/>
        </w:rPr>
        <w:t xml:space="preserve">workers </w:t>
      </w:r>
      <w:r w:rsidRPr="00F151D4">
        <w:rPr>
          <w:rFonts w:ascii="Arial" w:hAnsi="Arial" w:cs="Arial"/>
          <w:sz w:val="22"/>
          <w:szCs w:val="22"/>
        </w:rPr>
        <w:t>opportunities</w:t>
      </w:r>
      <w:r w:rsidR="00E81C75" w:rsidRPr="00F151D4">
        <w:rPr>
          <w:rFonts w:ascii="Arial" w:hAnsi="Arial" w:cs="Arial"/>
          <w:sz w:val="22"/>
          <w:szCs w:val="22"/>
        </w:rPr>
        <w:t xml:space="preserve"> to offer feedback to </w:t>
      </w:r>
      <w:r w:rsidRPr="00F151D4">
        <w:rPr>
          <w:rFonts w:ascii="Arial" w:hAnsi="Arial" w:cs="Arial"/>
          <w:sz w:val="22"/>
          <w:szCs w:val="22"/>
        </w:rPr>
        <w:t xml:space="preserve">help the organization determine what hazards exist  </w:t>
      </w:r>
    </w:p>
    <w:p w14:paraId="51738B67" w14:textId="77777777" w:rsidR="0081457B" w:rsidRPr="00F151D4" w:rsidRDefault="0081457B" w:rsidP="0081457B">
      <w:pPr>
        <w:autoSpaceDE w:val="0"/>
        <w:autoSpaceDN w:val="0"/>
        <w:spacing w:after="180"/>
        <w:ind w:left="400"/>
        <w:jc w:val="both"/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>b) encourage participation and engagement in the process</w:t>
      </w:r>
      <w:r w:rsidR="00E81C75" w:rsidRPr="00F151D4">
        <w:rPr>
          <w:rFonts w:ascii="Arial" w:hAnsi="Arial" w:cs="Arial"/>
          <w:sz w:val="22"/>
          <w:szCs w:val="22"/>
        </w:rPr>
        <w:t xml:space="preserve"> of assessing PHS hazards</w:t>
      </w:r>
    </w:p>
    <w:p w14:paraId="58B7D48B" w14:textId="77777777" w:rsidR="0081457B" w:rsidRPr="00F151D4" w:rsidRDefault="0081457B" w:rsidP="0081457B">
      <w:pPr>
        <w:autoSpaceDE w:val="0"/>
        <w:autoSpaceDN w:val="0"/>
        <w:spacing w:after="180"/>
        <w:ind w:left="400" w:hanging="400"/>
        <w:jc w:val="both"/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>Consultation should take place at all stages of identifying, evaluating and managing PHS hazards.</w:t>
      </w:r>
    </w:p>
    <w:p w14:paraId="1F61C871" w14:textId="77777777" w:rsidR="0081457B" w:rsidRPr="00F151D4" w:rsidRDefault="0081457B" w:rsidP="0081457B">
      <w:pPr>
        <w:autoSpaceDE w:val="0"/>
        <w:autoSpaceDN w:val="0"/>
        <w:spacing w:after="180"/>
        <w:ind w:left="400" w:hanging="400"/>
        <w:jc w:val="both"/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>Both management and workers should have specific roles and responsibilities.</w:t>
      </w:r>
    </w:p>
    <w:p w14:paraId="055358C4" w14:textId="77777777" w:rsidR="0081457B" w:rsidRPr="00F151D4" w:rsidRDefault="0081457B" w:rsidP="0081457B">
      <w:pPr>
        <w:shd w:val="clear" w:color="auto" w:fill="FFFFFF"/>
        <w:spacing w:after="150"/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>There are a number of ways that organizations can engage their employees in identifying psychosocial risk factors. The approach that is selected will be based on</w:t>
      </w:r>
      <w:r w:rsidR="00DB1981" w:rsidRPr="00F151D4">
        <w:rPr>
          <w:rFonts w:ascii="Arial" w:hAnsi="Arial" w:cs="Arial"/>
          <w:sz w:val="22"/>
          <w:szCs w:val="22"/>
        </w:rPr>
        <w:t xml:space="preserve"> a variety of factors, including the </w:t>
      </w:r>
      <w:r w:rsidRPr="00F151D4">
        <w:rPr>
          <w:rFonts w:ascii="Arial" w:hAnsi="Arial" w:cs="Arial"/>
          <w:sz w:val="22"/>
          <w:szCs w:val="22"/>
        </w:rPr>
        <w:t xml:space="preserve">readiness of the workplace parties to participate meaningfully in the </w:t>
      </w:r>
      <w:r w:rsidR="00DB1981" w:rsidRPr="00F151D4">
        <w:rPr>
          <w:rFonts w:ascii="Arial" w:hAnsi="Arial" w:cs="Arial"/>
          <w:sz w:val="22"/>
          <w:szCs w:val="22"/>
        </w:rPr>
        <w:t>process</w:t>
      </w:r>
      <w:r w:rsidRPr="00F151D4">
        <w:rPr>
          <w:rFonts w:ascii="Arial" w:hAnsi="Arial" w:cs="Arial"/>
          <w:sz w:val="22"/>
          <w:szCs w:val="22"/>
        </w:rPr>
        <w:t>.</w:t>
      </w:r>
    </w:p>
    <w:p w14:paraId="69811624" w14:textId="77777777" w:rsidR="0081457B" w:rsidRPr="00F151D4" w:rsidRDefault="0081457B" w:rsidP="0081457B">
      <w:pPr>
        <w:numPr>
          <w:ilvl w:val="0"/>
          <w:numId w:val="1"/>
        </w:numPr>
        <w:shd w:val="clear" w:color="auto" w:fill="FFFFFF"/>
        <w:spacing w:before="375" w:after="150"/>
        <w:rPr>
          <w:rFonts w:ascii="Arial" w:eastAsia="Times New Roman" w:hAnsi="Arial" w:cs="Arial"/>
          <w:sz w:val="22"/>
          <w:szCs w:val="22"/>
        </w:rPr>
      </w:pPr>
      <w:r w:rsidRPr="00F151D4">
        <w:rPr>
          <w:rFonts w:ascii="Arial" w:eastAsia="Times New Roman" w:hAnsi="Arial" w:cs="Arial"/>
          <w:sz w:val="22"/>
          <w:szCs w:val="22"/>
        </w:rPr>
        <w:t xml:space="preserve">Employee Surveys </w:t>
      </w:r>
    </w:p>
    <w:p w14:paraId="183B5319" w14:textId="77777777" w:rsidR="0081457B" w:rsidRPr="00F151D4" w:rsidRDefault="0081457B" w:rsidP="0081457B">
      <w:pPr>
        <w:shd w:val="clear" w:color="auto" w:fill="FFFFFF"/>
        <w:spacing w:after="150"/>
        <w:ind w:left="720"/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>A</w:t>
      </w:r>
      <w:r w:rsidR="00DB1981" w:rsidRPr="00F151D4">
        <w:rPr>
          <w:rFonts w:ascii="Arial" w:hAnsi="Arial" w:cs="Arial"/>
          <w:sz w:val="22"/>
          <w:szCs w:val="22"/>
        </w:rPr>
        <w:t xml:space="preserve">n anonymous </w:t>
      </w:r>
      <w:r w:rsidRPr="00F151D4">
        <w:rPr>
          <w:rFonts w:ascii="Arial" w:hAnsi="Arial" w:cs="Arial"/>
          <w:sz w:val="22"/>
          <w:szCs w:val="22"/>
        </w:rPr>
        <w:t xml:space="preserve">questionnaire that employees can complete may be used. </w:t>
      </w:r>
      <w:r w:rsidR="00DB1981" w:rsidRPr="00F151D4">
        <w:rPr>
          <w:rFonts w:ascii="Arial" w:hAnsi="Arial" w:cs="Arial"/>
          <w:sz w:val="22"/>
          <w:szCs w:val="22"/>
        </w:rPr>
        <w:t>There are s</w:t>
      </w:r>
      <w:r w:rsidRPr="00F151D4">
        <w:rPr>
          <w:rFonts w:ascii="Arial" w:hAnsi="Arial" w:cs="Arial"/>
          <w:sz w:val="22"/>
          <w:szCs w:val="22"/>
        </w:rPr>
        <w:t>everal, well-recognized and respected surveys are available and free for organizations to use.</w:t>
      </w:r>
    </w:p>
    <w:p w14:paraId="36EFAEC3" w14:textId="77777777" w:rsidR="0081457B" w:rsidRPr="00F151D4" w:rsidRDefault="0081457B" w:rsidP="0081457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2"/>
          <w:szCs w:val="22"/>
        </w:rPr>
      </w:pPr>
      <w:r w:rsidRPr="00F151D4">
        <w:rPr>
          <w:rFonts w:ascii="Arial" w:eastAsia="Times New Roman" w:hAnsi="Arial" w:cs="Arial"/>
          <w:sz w:val="22"/>
          <w:szCs w:val="22"/>
        </w:rPr>
        <w:t>General Awareness</w:t>
      </w:r>
    </w:p>
    <w:p w14:paraId="24105006" w14:textId="77777777" w:rsidR="0081457B" w:rsidRPr="00F151D4" w:rsidRDefault="0081457B" w:rsidP="0081457B">
      <w:pPr>
        <w:shd w:val="clear" w:color="auto" w:fill="FFFFFF"/>
        <w:spacing w:after="150"/>
        <w:ind w:left="720"/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 xml:space="preserve">During staff meetings, tool box talks or other team meeting, hold a discussion with employees on the psychosocial risk factors and what PHS hazards exist. </w:t>
      </w:r>
    </w:p>
    <w:p w14:paraId="20DAC036" w14:textId="77777777" w:rsidR="0081457B" w:rsidRPr="00F151D4" w:rsidRDefault="0081457B" w:rsidP="0081457B">
      <w:pPr>
        <w:shd w:val="clear" w:color="auto" w:fill="FFFFFF"/>
        <w:spacing w:after="150"/>
        <w:ind w:left="720"/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>Regardless of the approach that is used to consult with employees, the questions that should be posed (with the answers documented) regarding identification of psychosocial risk factors are:</w:t>
      </w:r>
    </w:p>
    <w:p w14:paraId="030C9CC8" w14:textId="77777777" w:rsidR="0081457B" w:rsidRPr="00F151D4" w:rsidRDefault="0081457B" w:rsidP="0081457B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2"/>
          <w:szCs w:val="22"/>
        </w:rPr>
      </w:pPr>
      <w:r w:rsidRPr="00F151D4">
        <w:rPr>
          <w:rFonts w:ascii="Arial" w:eastAsia="Times New Roman" w:hAnsi="Arial" w:cs="Arial"/>
          <w:sz w:val="22"/>
          <w:szCs w:val="22"/>
        </w:rPr>
        <w:t>What hazards are present in the workplace?</w:t>
      </w:r>
    </w:p>
    <w:p w14:paraId="15E74ADF" w14:textId="77777777" w:rsidR="0081457B" w:rsidRPr="00F151D4" w:rsidRDefault="0081457B" w:rsidP="0081457B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sz w:val="22"/>
          <w:szCs w:val="22"/>
        </w:rPr>
      </w:pPr>
      <w:r w:rsidRPr="00F151D4">
        <w:rPr>
          <w:rFonts w:ascii="Arial" w:eastAsia="Times New Roman" w:hAnsi="Arial" w:cs="Arial"/>
          <w:sz w:val="22"/>
          <w:szCs w:val="22"/>
        </w:rPr>
        <w:t xml:space="preserve">What </w:t>
      </w:r>
      <w:r w:rsidR="00DB1981" w:rsidRPr="00F151D4">
        <w:rPr>
          <w:rFonts w:ascii="Arial" w:eastAsia="Times New Roman" w:hAnsi="Arial" w:cs="Arial"/>
          <w:sz w:val="22"/>
          <w:szCs w:val="22"/>
        </w:rPr>
        <w:t>workers</w:t>
      </w:r>
      <w:r w:rsidRPr="00F151D4">
        <w:rPr>
          <w:rFonts w:ascii="Arial" w:eastAsia="Times New Roman" w:hAnsi="Arial" w:cs="Arial"/>
          <w:sz w:val="22"/>
          <w:szCs w:val="22"/>
        </w:rPr>
        <w:t xml:space="preserve"> could experience harm because of this hazard?</w:t>
      </w:r>
    </w:p>
    <w:p w14:paraId="653018EA" w14:textId="77777777" w:rsidR="0081457B" w:rsidRPr="00F151D4" w:rsidRDefault="0081457B" w:rsidP="0081457B">
      <w:pPr>
        <w:rPr>
          <w:rFonts w:ascii="Arial" w:hAnsi="Arial" w:cs="Arial"/>
          <w:sz w:val="22"/>
          <w:szCs w:val="22"/>
          <w:u w:val="single"/>
        </w:rPr>
      </w:pPr>
      <w:r w:rsidRPr="00F151D4">
        <w:rPr>
          <w:rFonts w:ascii="Arial" w:hAnsi="Arial" w:cs="Arial"/>
          <w:sz w:val="22"/>
          <w:szCs w:val="22"/>
          <w:u w:val="single"/>
        </w:rPr>
        <w:t>Identifying hazards</w:t>
      </w:r>
    </w:p>
    <w:p w14:paraId="0138B9EE" w14:textId="77777777" w:rsidR="0081457B" w:rsidRPr="00F151D4" w:rsidRDefault="0081457B" w:rsidP="0081457B">
      <w:pPr>
        <w:rPr>
          <w:rFonts w:ascii="Arial" w:hAnsi="Arial" w:cs="Arial"/>
          <w:sz w:val="22"/>
          <w:szCs w:val="22"/>
        </w:rPr>
      </w:pPr>
    </w:p>
    <w:p w14:paraId="784188AB" w14:textId="77777777" w:rsidR="0081457B" w:rsidRPr="00F151D4" w:rsidRDefault="0081457B" w:rsidP="0081457B">
      <w:pPr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>Some considerations for identifying hazards:</w:t>
      </w:r>
    </w:p>
    <w:p w14:paraId="05250495" w14:textId="77777777" w:rsidR="0081457B" w:rsidRPr="00F151D4" w:rsidRDefault="0081457B" w:rsidP="0081457B">
      <w:pPr>
        <w:rPr>
          <w:rFonts w:ascii="Arial" w:hAnsi="Arial" w:cs="Arial"/>
          <w:b/>
          <w:bCs/>
          <w:sz w:val="22"/>
          <w:szCs w:val="22"/>
        </w:rPr>
      </w:pPr>
    </w:p>
    <w:p w14:paraId="782D7BE7" w14:textId="77777777" w:rsidR="0081457B" w:rsidRPr="00F151D4" w:rsidRDefault="0081457B" w:rsidP="0081457B">
      <w:pPr>
        <w:autoSpaceDE w:val="0"/>
        <w:autoSpaceDN w:val="0"/>
        <w:spacing w:before="100" w:after="180"/>
        <w:jc w:val="both"/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>The organization should identify hazards of a psychosocial nature. These can include:</w:t>
      </w:r>
    </w:p>
    <w:p w14:paraId="03F73A78" w14:textId="77777777" w:rsidR="0081457B" w:rsidRPr="00F151D4" w:rsidRDefault="0081457B" w:rsidP="0081457B">
      <w:pPr>
        <w:autoSpaceDE w:val="0"/>
        <w:autoSpaceDN w:val="0"/>
        <w:spacing w:after="180"/>
        <w:ind w:left="400"/>
        <w:jc w:val="both"/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lastRenderedPageBreak/>
        <w:t xml:space="preserve">a) aspects of how work is organized </w:t>
      </w:r>
    </w:p>
    <w:p w14:paraId="3E8AB049" w14:textId="77777777" w:rsidR="0081457B" w:rsidRPr="00F151D4" w:rsidRDefault="0081457B" w:rsidP="0081457B">
      <w:pPr>
        <w:autoSpaceDE w:val="0"/>
        <w:autoSpaceDN w:val="0"/>
        <w:spacing w:after="180"/>
        <w:ind w:left="400"/>
        <w:jc w:val="both"/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 xml:space="preserve">b) social factors at work </w:t>
      </w:r>
    </w:p>
    <w:p w14:paraId="6999BE2D" w14:textId="77777777" w:rsidR="0081457B" w:rsidRPr="00F151D4" w:rsidRDefault="0081457B" w:rsidP="0081457B">
      <w:pPr>
        <w:autoSpaceDE w:val="0"/>
        <w:autoSpaceDN w:val="0"/>
        <w:spacing w:after="180"/>
        <w:ind w:left="400"/>
        <w:jc w:val="both"/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 xml:space="preserve">c) work environment, equipment and hazardous tasks </w:t>
      </w:r>
    </w:p>
    <w:p w14:paraId="4A21C67F" w14:textId="77777777" w:rsidR="0081457B" w:rsidRPr="00F151D4" w:rsidRDefault="0081457B" w:rsidP="0081457B">
      <w:pPr>
        <w:rPr>
          <w:rFonts w:ascii="Arial" w:hAnsi="Arial" w:cs="Arial"/>
          <w:sz w:val="22"/>
          <w:szCs w:val="22"/>
        </w:rPr>
      </w:pPr>
    </w:p>
    <w:p w14:paraId="0CC8E389" w14:textId="77777777" w:rsidR="0081457B" w:rsidRPr="00F151D4" w:rsidRDefault="0081457B" w:rsidP="0081457B">
      <w:pPr>
        <w:rPr>
          <w:rFonts w:ascii="Arial" w:hAnsi="Arial" w:cs="Arial"/>
          <w:sz w:val="22"/>
          <w:szCs w:val="22"/>
          <w:u w:val="single"/>
        </w:rPr>
      </w:pPr>
      <w:r w:rsidRPr="00F151D4">
        <w:rPr>
          <w:rFonts w:ascii="Arial" w:hAnsi="Arial" w:cs="Arial"/>
          <w:sz w:val="22"/>
          <w:szCs w:val="22"/>
          <w:u w:val="single"/>
        </w:rPr>
        <w:t xml:space="preserve">Controlling hazards </w:t>
      </w:r>
    </w:p>
    <w:p w14:paraId="11CDB9BE" w14:textId="77777777" w:rsidR="007B698C" w:rsidRPr="00F151D4" w:rsidRDefault="007B698C" w:rsidP="0081457B">
      <w:pPr>
        <w:rPr>
          <w:rFonts w:ascii="Arial" w:hAnsi="Arial" w:cs="Arial"/>
          <w:sz w:val="22"/>
          <w:szCs w:val="22"/>
          <w:u w:val="single"/>
        </w:rPr>
      </w:pPr>
    </w:p>
    <w:p w14:paraId="1C5B5FA1" w14:textId="77777777" w:rsidR="00967CB1" w:rsidRPr="00F151D4" w:rsidRDefault="00967CB1" w:rsidP="0081457B">
      <w:pPr>
        <w:rPr>
          <w:rFonts w:ascii="Arial" w:hAnsi="Arial" w:cs="Arial"/>
          <w:sz w:val="22"/>
          <w:szCs w:val="22"/>
          <w:u w:val="single"/>
        </w:rPr>
      </w:pPr>
      <w:r w:rsidRPr="00F151D4">
        <w:rPr>
          <w:rFonts w:ascii="Arial" w:hAnsi="Arial" w:cs="Arial"/>
          <w:sz w:val="22"/>
          <w:szCs w:val="22"/>
        </w:rPr>
        <w:t>14.7 Support workers psychological health and safety by implementing control measures for the identified PHS hazards.</w:t>
      </w:r>
    </w:p>
    <w:p w14:paraId="78706067" w14:textId="77777777" w:rsidR="0081457B" w:rsidRPr="00F151D4" w:rsidRDefault="0081457B" w:rsidP="0081457B">
      <w:pPr>
        <w:rPr>
          <w:rFonts w:ascii="Arial" w:hAnsi="Arial" w:cs="Arial"/>
          <w:sz w:val="22"/>
          <w:szCs w:val="22"/>
          <w:u w:val="single"/>
        </w:rPr>
      </w:pPr>
    </w:p>
    <w:p w14:paraId="0A2F431C" w14:textId="77777777" w:rsidR="0081457B" w:rsidRPr="00F151D4" w:rsidRDefault="0081457B" w:rsidP="0081457B">
      <w:pPr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 xml:space="preserve">There </w:t>
      </w:r>
      <w:r w:rsidR="007B698C" w:rsidRPr="00F151D4">
        <w:rPr>
          <w:rFonts w:ascii="Arial" w:hAnsi="Arial" w:cs="Arial"/>
          <w:sz w:val="22"/>
          <w:szCs w:val="22"/>
        </w:rPr>
        <w:t xml:space="preserve">is a variety of </w:t>
      </w:r>
      <w:r w:rsidRPr="00F151D4">
        <w:rPr>
          <w:rFonts w:ascii="Arial" w:hAnsi="Arial" w:cs="Arial"/>
          <w:sz w:val="22"/>
          <w:szCs w:val="22"/>
        </w:rPr>
        <w:t>strategies to manage psychological hazards. Strategies for eliminating hazards, reducing risks and promoting well-being should be developed in consultation with workers and the implementation should be documented.</w:t>
      </w:r>
    </w:p>
    <w:p w14:paraId="522E4E08" w14:textId="77777777" w:rsidR="0081457B" w:rsidRPr="00F151D4" w:rsidRDefault="0081457B" w:rsidP="0081457B">
      <w:pPr>
        <w:rPr>
          <w:rFonts w:ascii="Arial" w:hAnsi="Arial" w:cs="Arial"/>
          <w:sz w:val="22"/>
          <w:szCs w:val="22"/>
          <w:u w:val="single"/>
        </w:rPr>
      </w:pPr>
    </w:p>
    <w:p w14:paraId="55745FF9" w14:textId="77777777" w:rsidR="0081457B" w:rsidRPr="00F151D4" w:rsidRDefault="0081457B" w:rsidP="0081457B">
      <w:pPr>
        <w:autoSpaceDE w:val="0"/>
        <w:autoSpaceDN w:val="0"/>
        <w:spacing w:before="100" w:after="180" w:line="221" w:lineRule="atLeast"/>
        <w:jc w:val="both"/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 xml:space="preserve">When managing psychosocial </w:t>
      </w:r>
      <w:r w:rsidR="007B698C" w:rsidRPr="00F151D4">
        <w:rPr>
          <w:rFonts w:ascii="Arial" w:hAnsi="Arial" w:cs="Arial"/>
          <w:sz w:val="22"/>
          <w:szCs w:val="22"/>
        </w:rPr>
        <w:t>hazards</w:t>
      </w:r>
      <w:r w:rsidRPr="00F151D4">
        <w:rPr>
          <w:rFonts w:ascii="Arial" w:hAnsi="Arial" w:cs="Arial"/>
          <w:sz w:val="22"/>
          <w:szCs w:val="22"/>
        </w:rPr>
        <w:t>, a combination of intervention</w:t>
      </w:r>
      <w:r w:rsidR="007B698C" w:rsidRPr="00F151D4">
        <w:rPr>
          <w:rFonts w:ascii="Arial" w:hAnsi="Arial" w:cs="Arial"/>
          <w:sz w:val="22"/>
          <w:szCs w:val="22"/>
        </w:rPr>
        <w:t>s</w:t>
      </w:r>
      <w:r w:rsidRPr="00F151D4">
        <w:rPr>
          <w:rFonts w:ascii="Arial" w:hAnsi="Arial" w:cs="Arial"/>
          <w:sz w:val="22"/>
          <w:szCs w:val="22"/>
        </w:rPr>
        <w:t xml:space="preserve"> </w:t>
      </w:r>
      <w:r w:rsidR="007B698C" w:rsidRPr="00F151D4">
        <w:rPr>
          <w:rFonts w:ascii="Arial" w:hAnsi="Arial" w:cs="Arial"/>
          <w:sz w:val="22"/>
          <w:szCs w:val="22"/>
        </w:rPr>
        <w:t>should</w:t>
      </w:r>
      <w:r w:rsidRPr="00F151D4">
        <w:rPr>
          <w:rFonts w:ascii="Arial" w:hAnsi="Arial" w:cs="Arial"/>
          <w:sz w:val="22"/>
          <w:szCs w:val="22"/>
        </w:rPr>
        <w:t xml:space="preserve"> be used:</w:t>
      </w:r>
    </w:p>
    <w:p w14:paraId="6C92AFD7" w14:textId="77777777" w:rsidR="0081457B" w:rsidRPr="00F151D4" w:rsidRDefault="0081457B" w:rsidP="0081457B">
      <w:pPr>
        <w:autoSpaceDE w:val="0"/>
        <w:autoSpaceDN w:val="0"/>
        <w:spacing w:after="180" w:line="221" w:lineRule="atLeast"/>
        <w:ind w:left="400" w:hanging="400"/>
        <w:jc w:val="both"/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>a) organizational level controls to prevent or reduce harmful effects and promote well-being at work</w:t>
      </w:r>
    </w:p>
    <w:p w14:paraId="5270C9E2" w14:textId="77777777" w:rsidR="0081457B" w:rsidRPr="00F151D4" w:rsidRDefault="0081457B" w:rsidP="0081457B">
      <w:pPr>
        <w:autoSpaceDE w:val="0"/>
        <w:autoSpaceDN w:val="0"/>
        <w:spacing w:after="180" w:line="221" w:lineRule="atLeast"/>
        <w:jc w:val="both"/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 xml:space="preserve">b) resources that </w:t>
      </w:r>
      <w:r w:rsidR="007B698C" w:rsidRPr="00F151D4">
        <w:rPr>
          <w:rFonts w:ascii="Arial" w:hAnsi="Arial" w:cs="Arial"/>
          <w:sz w:val="22"/>
          <w:szCs w:val="22"/>
        </w:rPr>
        <w:t>address</w:t>
      </w:r>
      <w:r w:rsidRPr="00F151D4">
        <w:rPr>
          <w:rFonts w:ascii="Arial" w:hAnsi="Arial" w:cs="Arial"/>
          <w:sz w:val="22"/>
          <w:szCs w:val="22"/>
        </w:rPr>
        <w:t xml:space="preserve"> psychosocial </w:t>
      </w:r>
      <w:r w:rsidR="007B698C" w:rsidRPr="00F151D4">
        <w:rPr>
          <w:rFonts w:ascii="Arial" w:hAnsi="Arial" w:cs="Arial"/>
          <w:sz w:val="22"/>
          <w:szCs w:val="22"/>
        </w:rPr>
        <w:t xml:space="preserve">hazards, </w:t>
      </w:r>
      <w:r w:rsidRPr="00F151D4">
        <w:rPr>
          <w:rFonts w:ascii="Arial" w:hAnsi="Arial" w:cs="Arial"/>
          <w:sz w:val="22"/>
          <w:szCs w:val="22"/>
        </w:rPr>
        <w:t>effective training and other appropriate measures;</w:t>
      </w:r>
    </w:p>
    <w:p w14:paraId="4BFDC9D4" w14:textId="77777777" w:rsidR="0081457B" w:rsidRPr="00F151D4" w:rsidRDefault="0081457B" w:rsidP="0081457B">
      <w:pPr>
        <w:rPr>
          <w:rFonts w:ascii="Arial" w:hAnsi="Arial" w:cs="Arial"/>
          <w:sz w:val="22"/>
          <w:szCs w:val="22"/>
          <w:u w:val="single"/>
        </w:rPr>
      </w:pPr>
      <w:r w:rsidRPr="00F151D4">
        <w:rPr>
          <w:rFonts w:ascii="Arial" w:hAnsi="Arial" w:cs="Arial"/>
          <w:sz w:val="22"/>
          <w:szCs w:val="22"/>
        </w:rPr>
        <w:t xml:space="preserve">c) reducing the </w:t>
      </w:r>
      <w:r w:rsidR="007B698C" w:rsidRPr="00F151D4">
        <w:rPr>
          <w:rFonts w:ascii="Arial" w:hAnsi="Arial" w:cs="Arial"/>
          <w:sz w:val="22"/>
          <w:szCs w:val="22"/>
        </w:rPr>
        <w:t>harm</w:t>
      </w:r>
      <w:r w:rsidRPr="00F151D4">
        <w:rPr>
          <w:rFonts w:ascii="Arial" w:hAnsi="Arial" w:cs="Arial"/>
          <w:sz w:val="22"/>
          <w:szCs w:val="22"/>
        </w:rPr>
        <w:t xml:space="preserve"> when an exposure to psychosocial hazards occurs</w:t>
      </w:r>
    </w:p>
    <w:p w14:paraId="6234A4FA" w14:textId="77777777" w:rsidR="0081457B" w:rsidRPr="00F151D4" w:rsidRDefault="0081457B" w:rsidP="0081457B">
      <w:pPr>
        <w:rPr>
          <w:rFonts w:ascii="Arial" w:hAnsi="Arial" w:cs="Arial"/>
          <w:sz w:val="22"/>
          <w:szCs w:val="22"/>
          <w:u w:val="single"/>
        </w:rPr>
      </w:pPr>
    </w:p>
    <w:p w14:paraId="18A9F84B" w14:textId="77777777" w:rsidR="0081457B" w:rsidRPr="00F151D4" w:rsidRDefault="0081457B" w:rsidP="0081457B">
      <w:pPr>
        <w:rPr>
          <w:rFonts w:ascii="Arial" w:hAnsi="Arial" w:cs="Arial"/>
          <w:sz w:val="22"/>
          <w:szCs w:val="22"/>
        </w:rPr>
      </w:pPr>
    </w:p>
    <w:p w14:paraId="4BA7172F" w14:textId="77777777" w:rsidR="0081457B" w:rsidRPr="00F151D4" w:rsidRDefault="00F151D4" w:rsidP="0081457B">
      <w:pPr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>This is an example of an assessment tool for PHS hazards:</w:t>
      </w:r>
    </w:p>
    <w:p w14:paraId="643139EB" w14:textId="77777777" w:rsidR="007A5CC1" w:rsidRPr="00F151D4" w:rsidRDefault="007A5CC1">
      <w:pPr>
        <w:rPr>
          <w:rFonts w:ascii="Arial" w:hAnsi="Arial" w:cs="Arial"/>
          <w:sz w:val="22"/>
          <w:szCs w:val="22"/>
        </w:rPr>
      </w:pPr>
    </w:p>
    <w:p w14:paraId="4F87D006" w14:textId="77777777" w:rsidR="008B473C" w:rsidRPr="00F151D4" w:rsidRDefault="008B473C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844"/>
        <w:gridCol w:w="1684"/>
        <w:gridCol w:w="2062"/>
        <w:gridCol w:w="1165"/>
      </w:tblGrid>
      <w:tr w:rsidR="00F151D4" w:rsidRPr="00F151D4" w14:paraId="3ECD97C1" w14:textId="77777777" w:rsidTr="00F151D4">
        <w:tc>
          <w:tcPr>
            <w:tcW w:w="3595" w:type="dxa"/>
          </w:tcPr>
          <w:p w14:paraId="28446659" w14:textId="77777777" w:rsidR="008B473C" w:rsidRPr="00F151D4" w:rsidRDefault="008B473C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>Psychosocial hazards and factors</w:t>
            </w:r>
          </w:p>
        </w:tc>
        <w:tc>
          <w:tcPr>
            <w:tcW w:w="844" w:type="dxa"/>
          </w:tcPr>
          <w:p w14:paraId="63173AF3" w14:textId="77777777" w:rsidR="008B473C" w:rsidRPr="00F151D4" w:rsidRDefault="007B698C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>Job</w:t>
            </w:r>
            <w:r w:rsidR="00A4541B" w:rsidRPr="00F151D4">
              <w:rPr>
                <w:rFonts w:ascii="Arial" w:hAnsi="Arial" w:cs="Arial"/>
                <w:sz w:val="22"/>
                <w:szCs w:val="22"/>
              </w:rPr>
              <w:t xml:space="preserve"> Duties</w:t>
            </w:r>
          </w:p>
        </w:tc>
        <w:tc>
          <w:tcPr>
            <w:tcW w:w="1684" w:type="dxa"/>
          </w:tcPr>
          <w:p w14:paraId="0D3D5538" w14:textId="77777777" w:rsidR="008B473C" w:rsidRPr="00F151D4" w:rsidRDefault="00A4541B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>Consequences (possible outcomes)</w:t>
            </w:r>
          </w:p>
        </w:tc>
        <w:tc>
          <w:tcPr>
            <w:tcW w:w="2062" w:type="dxa"/>
          </w:tcPr>
          <w:p w14:paraId="04FB1020" w14:textId="77777777" w:rsidR="008B473C" w:rsidRPr="00F151D4" w:rsidRDefault="00A4541B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>Injury risk potential (likelihood vs consequences)</w:t>
            </w:r>
          </w:p>
        </w:tc>
        <w:tc>
          <w:tcPr>
            <w:tcW w:w="1165" w:type="dxa"/>
          </w:tcPr>
          <w:p w14:paraId="2EA659BE" w14:textId="77777777" w:rsidR="008B473C" w:rsidRPr="00F151D4" w:rsidRDefault="00A4541B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>Action required</w:t>
            </w:r>
          </w:p>
        </w:tc>
      </w:tr>
      <w:tr w:rsidR="00F151D4" w:rsidRPr="00F151D4" w14:paraId="6CC72CA0" w14:textId="77777777" w:rsidTr="00F151D4">
        <w:tc>
          <w:tcPr>
            <w:tcW w:w="3595" w:type="dxa"/>
          </w:tcPr>
          <w:p w14:paraId="704396C2" w14:textId="77777777" w:rsidR="00182B85" w:rsidRPr="00F151D4" w:rsidRDefault="002E27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151D4">
              <w:rPr>
                <w:rFonts w:ascii="Arial" w:hAnsi="Arial" w:cs="Arial"/>
                <w:b/>
                <w:sz w:val="22"/>
                <w:szCs w:val="22"/>
              </w:rPr>
              <w:t>Job Demands</w:t>
            </w:r>
          </w:p>
          <w:p w14:paraId="6BFB93E6" w14:textId="77777777" w:rsidR="00182B85" w:rsidRPr="00F151D4" w:rsidRDefault="002E27DB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>Related to</w:t>
            </w:r>
            <w:r w:rsidR="00B44066" w:rsidRPr="00F151D4">
              <w:rPr>
                <w:rFonts w:ascii="Arial" w:hAnsi="Arial" w:cs="Arial"/>
                <w:sz w:val="22"/>
                <w:szCs w:val="22"/>
              </w:rPr>
              <w:t xml:space="preserve"> the demands placed on workers.</w:t>
            </w:r>
          </w:p>
          <w:p w14:paraId="2D65CF79" w14:textId="77777777" w:rsidR="00182B85" w:rsidRPr="00F151D4" w:rsidRDefault="002E27DB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>C</w:t>
            </w:r>
            <w:r w:rsidR="00B44066" w:rsidRPr="00F151D4">
              <w:rPr>
                <w:rFonts w:ascii="Arial" w:hAnsi="Arial" w:cs="Arial"/>
                <w:sz w:val="22"/>
                <w:szCs w:val="22"/>
              </w:rPr>
              <w:t>an include</w:t>
            </w:r>
            <w:r w:rsidR="00182B85" w:rsidRPr="00F151D4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5D5249B" w14:textId="77777777" w:rsidR="00182B85" w:rsidRPr="00F151D4" w:rsidRDefault="00B44066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 xml:space="preserve">High levels of time pressure and role overload can include: </w:t>
            </w:r>
          </w:p>
          <w:p w14:paraId="4CEA2B5E" w14:textId="77777777" w:rsidR="00182B85" w:rsidRPr="00F151D4" w:rsidRDefault="00B44066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>• tasks that are beyond t</w:t>
            </w:r>
            <w:r w:rsidR="00F151D4" w:rsidRPr="00F151D4">
              <w:rPr>
                <w:rFonts w:ascii="Arial" w:hAnsi="Arial" w:cs="Arial"/>
                <w:sz w:val="22"/>
                <w:szCs w:val="22"/>
              </w:rPr>
              <w:t xml:space="preserve">he workers </w:t>
            </w:r>
            <w:r w:rsidRPr="00F151D4">
              <w:rPr>
                <w:rFonts w:ascii="Arial" w:hAnsi="Arial" w:cs="Arial"/>
                <w:sz w:val="22"/>
                <w:szCs w:val="22"/>
              </w:rPr>
              <w:t xml:space="preserve">level of </w:t>
            </w:r>
            <w:r w:rsidR="00F151D4" w:rsidRPr="00F151D4">
              <w:rPr>
                <w:rFonts w:ascii="Arial" w:hAnsi="Arial" w:cs="Arial"/>
                <w:sz w:val="22"/>
                <w:szCs w:val="22"/>
              </w:rPr>
              <w:t>training or experience</w:t>
            </w:r>
          </w:p>
          <w:p w14:paraId="4E8EA5EA" w14:textId="77777777" w:rsidR="00182B85" w:rsidRPr="00F151D4" w:rsidRDefault="00B44066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 xml:space="preserve">• excessive expectations </w:t>
            </w:r>
            <w:r w:rsidR="00F151D4" w:rsidRPr="00F151D4">
              <w:rPr>
                <w:rFonts w:ascii="Arial" w:hAnsi="Arial" w:cs="Arial"/>
                <w:sz w:val="22"/>
                <w:szCs w:val="22"/>
              </w:rPr>
              <w:t>workers</w:t>
            </w:r>
          </w:p>
          <w:p w14:paraId="517FEA02" w14:textId="77777777" w:rsidR="00182B85" w:rsidRPr="00F151D4" w:rsidRDefault="00B44066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 xml:space="preserve">• unreasonable deadlines for work tasks or </w:t>
            </w:r>
            <w:r w:rsidR="00F151D4" w:rsidRPr="00F151D4">
              <w:rPr>
                <w:rFonts w:ascii="Arial" w:hAnsi="Arial" w:cs="Arial"/>
                <w:sz w:val="22"/>
                <w:szCs w:val="22"/>
              </w:rPr>
              <w:t>asked</w:t>
            </w:r>
            <w:r w:rsidRPr="00F151D4">
              <w:rPr>
                <w:rFonts w:ascii="Arial" w:hAnsi="Arial" w:cs="Arial"/>
                <w:sz w:val="22"/>
                <w:szCs w:val="22"/>
              </w:rPr>
              <w:t xml:space="preserve"> to complete work tasks outside of work hours </w:t>
            </w:r>
          </w:p>
          <w:p w14:paraId="33412D10" w14:textId="77777777" w:rsidR="00F151D4" w:rsidRPr="00F151D4" w:rsidRDefault="00B44066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 xml:space="preserve">• lack of resources required to complete tasks </w:t>
            </w:r>
          </w:p>
          <w:p w14:paraId="666A8C96" w14:textId="77777777" w:rsidR="00182B85" w:rsidRPr="00F151D4" w:rsidRDefault="00B44066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 xml:space="preserve">• </w:t>
            </w:r>
            <w:r w:rsidR="00F151D4" w:rsidRPr="00F151D4">
              <w:rPr>
                <w:rFonts w:ascii="Arial" w:hAnsi="Arial" w:cs="Arial"/>
                <w:sz w:val="22"/>
                <w:szCs w:val="22"/>
              </w:rPr>
              <w:t xml:space="preserve">extra work due to </w:t>
            </w:r>
            <w:r w:rsidRPr="00F151D4">
              <w:rPr>
                <w:rFonts w:ascii="Arial" w:hAnsi="Arial" w:cs="Arial"/>
                <w:sz w:val="22"/>
                <w:szCs w:val="22"/>
              </w:rPr>
              <w:t xml:space="preserve">absence of team members </w:t>
            </w:r>
            <w:r w:rsidR="00F151D4" w:rsidRPr="00F151D4">
              <w:rPr>
                <w:rFonts w:ascii="Arial" w:hAnsi="Arial" w:cs="Arial"/>
                <w:sz w:val="22"/>
                <w:szCs w:val="22"/>
              </w:rPr>
              <w:t>beyond a short duration</w:t>
            </w:r>
          </w:p>
          <w:p w14:paraId="20A0452A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8A1A99" w14:textId="77777777" w:rsidR="00F151D4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b/>
                <w:sz w:val="22"/>
                <w:szCs w:val="22"/>
              </w:rPr>
              <w:lastRenderedPageBreak/>
              <w:t>Poor support</w:t>
            </w:r>
            <w:r w:rsidRPr="00F151D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02B3E38" w14:textId="77777777" w:rsidR="00F151D4" w:rsidRPr="00F151D4" w:rsidRDefault="00F151D4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>The lack of p</w:t>
            </w:r>
            <w:r w:rsidR="00546B1A" w:rsidRPr="00F151D4">
              <w:rPr>
                <w:rFonts w:ascii="Arial" w:hAnsi="Arial" w:cs="Arial"/>
                <w:sz w:val="22"/>
                <w:szCs w:val="22"/>
              </w:rPr>
              <w:t>ractical assistance and support</w:t>
            </w:r>
            <w:r w:rsidRPr="00F151D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5FEADA2" w14:textId="77777777" w:rsidR="00182B85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 xml:space="preserve">Situations that may lead to workers experiencing poor support: </w:t>
            </w:r>
          </w:p>
          <w:p w14:paraId="1657D7AD" w14:textId="77777777" w:rsidR="00182B85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 xml:space="preserve">• </w:t>
            </w:r>
            <w:r w:rsidR="00F151D4" w:rsidRPr="00F151D4">
              <w:rPr>
                <w:rFonts w:ascii="Arial" w:hAnsi="Arial" w:cs="Arial"/>
                <w:sz w:val="22"/>
                <w:szCs w:val="22"/>
              </w:rPr>
              <w:t xml:space="preserve">Not being </w:t>
            </w:r>
            <w:r w:rsidRPr="00F151D4">
              <w:rPr>
                <w:rFonts w:ascii="Arial" w:hAnsi="Arial" w:cs="Arial"/>
                <w:sz w:val="22"/>
                <w:szCs w:val="22"/>
              </w:rPr>
              <w:t>provided access to tools, resources, information, or coaching needed</w:t>
            </w:r>
            <w:r w:rsidR="00F151D4" w:rsidRPr="00F151D4">
              <w:rPr>
                <w:rFonts w:ascii="Arial" w:hAnsi="Arial" w:cs="Arial"/>
                <w:sz w:val="22"/>
                <w:szCs w:val="22"/>
              </w:rPr>
              <w:t xml:space="preserve"> to do the job</w:t>
            </w:r>
          </w:p>
          <w:p w14:paraId="42F9C7B0" w14:textId="77777777" w:rsidR="00182B85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 xml:space="preserve">• workers who work in isolation or in geographically dispersed teams. </w:t>
            </w:r>
          </w:p>
          <w:p w14:paraId="036E7B7D" w14:textId="77777777" w:rsidR="00182B85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 xml:space="preserve">• where managers are required to manage large numbers of workers and it is difficult to provide adequate support to individuals </w:t>
            </w:r>
          </w:p>
          <w:p w14:paraId="40842800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 xml:space="preserve">• workers who do not have time or opportunity within work hours to speak with their colleagues or managers (e.g. highly regimented workplaces such as call </w:t>
            </w:r>
            <w:r w:rsidR="00182B85" w:rsidRPr="00F151D4">
              <w:rPr>
                <w:rFonts w:ascii="Arial" w:hAnsi="Arial" w:cs="Arial"/>
                <w:sz w:val="22"/>
                <w:szCs w:val="22"/>
              </w:rPr>
              <w:t>centers</w:t>
            </w:r>
            <w:r w:rsidRPr="00F151D4">
              <w:rPr>
                <w:rFonts w:ascii="Arial" w:hAnsi="Arial" w:cs="Arial"/>
                <w:sz w:val="22"/>
                <w:szCs w:val="22"/>
              </w:rPr>
              <w:t>, medical practices).</w:t>
            </w:r>
          </w:p>
          <w:p w14:paraId="28FF6DAE" w14:textId="77777777" w:rsidR="00B44066" w:rsidRPr="00F151D4" w:rsidRDefault="00B4406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1F7257" w14:textId="77777777" w:rsidR="00B44066" w:rsidRPr="00F151D4" w:rsidRDefault="00B4406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727468" w14:textId="77777777" w:rsidR="00B44066" w:rsidRPr="00F151D4" w:rsidRDefault="00B4406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E89CD6" w14:textId="77777777" w:rsidR="00B44066" w:rsidRPr="00F151D4" w:rsidRDefault="00B4406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D59C87" w14:textId="77777777" w:rsidR="00B44066" w:rsidRPr="00F151D4" w:rsidRDefault="00B4406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E2B844" w14:textId="77777777" w:rsidR="00B44066" w:rsidRPr="00F151D4" w:rsidRDefault="00B4406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C3DEA5" w14:textId="77777777" w:rsidR="00B44066" w:rsidRPr="00F151D4" w:rsidRDefault="00B440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4" w:type="dxa"/>
          </w:tcPr>
          <w:p w14:paraId="344146E5" w14:textId="77777777" w:rsidR="008B473C" w:rsidRPr="00F151D4" w:rsidRDefault="008B47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</w:tcPr>
          <w:p w14:paraId="474988B2" w14:textId="77777777" w:rsidR="008B473C" w:rsidRPr="00F151D4" w:rsidRDefault="008B47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14:paraId="6B0DF5C5" w14:textId="77777777" w:rsidR="008B473C" w:rsidRPr="00F151D4" w:rsidRDefault="008B47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dxa"/>
          </w:tcPr>
          <w:p w14:paraId="119A6FFE" w14:textId="77777777" w:rsidR="008B473C" w:rsidRPr="00F151D4" w:rsidRDefault="008B473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07EFA9" w14:textId="77777777" w:rsidR="008B473C" w:rsidRPr="00F151D4" w:rsidRDefault="008B473C">
      <w:pPr>
        <w:rPr>
          <w:rFonts w:ascii="Arial" w:hAnsi="Arial" w:cs="Arial"/>
          <w:sz w:val="22"/>
          <w:szCs w:val="22"/>
        </w:rPr>
      </w:pPr>
    </w:p>
    <w:p w14:paraId="3B81F1D9" w14:textId="77777777" w:rsidR="00F151D4" w:rsidRPr="00F151D4" w:rsidRDefault="00F151D4">
      <w:pPr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>The following is an example of documenting the implementation of controls for PHS hazards:</w:t>
      </w:r>
    </w:p>
    <w:p w14:paraId="0327E84E" w14:textId="77777777" w:rsidR="00546B1A" w:rsidRPr="00F151D4" w:rsidRDefault="00F151D4">
      <w:pPr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985"/>
        <w:gridCol w:w="1328"/>
        <w:gridCol w:w="1462"/>
        <w:gridCol w:w="2160"/>
        <w:gridCol w:w="1710"/>
        <w:gridCol w:w="1710"/>
      </w:tblGrid>
      <w:tr w:rsidR="00F151D4" w:rsidRPr="00F151D4" w14:paraId="11117756" w14:textId="77777777" w:rsidTr="00F151D4">
        <w:tc>
          <w:tcPr>
            <w:tcW w:w="985" w:type="dxa"/>
          </w:tcPr>
          <w:p w14:paraId="2D079CFA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>Priority</w:t>
            </w:r>
          </w:p>
        </w:tc>
        <w:tc>
          <w:tcPr>
            <w:tcW w:w="1328" w:type="dxa"/>
          </w:tcPr>
          <w:p w14:paraId="181DF5D9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>Identified Hazard</w:t>
            </w:r>
          </w:p>
        </w:tc>
        <w:tc>
          <w:tcPr>
            <w:tcW w:w="1462" w:type="dxa"/>
          </w:tcPr>
          <w:p w14:paraId="506D33D6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>Existing Control</w:t>
            </w:r>
          </w:p>
        </w:tc>
        <w:tc>
          <w:tcPr>
            <w:tcW w:w="2160" w:type="dxa"/>
          </w:tcPr>
          <w:p w14:paraId="086A86D1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>Additional controls to be implemented</w:t>
            </w:r>
          </w:p>
        </w:tc>
        <w:tc>
          <w:tcPr>
            <w:tcW w:w="1710" w:type="dxa"/>
          </w:tcPr>
          <w:p w14:paraId="79C2ACE1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>Responsible person</w:t>
            </w:r>
          </w:p>
        </w:tc>
        <w:tc>
          <w:tcPr>
            <w:tcW w:w="1710" w:type="dxa"/>
          </w:tcPr>
          <w:p w14:paraId="3C6F3357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  <w:r w:rsidRPr="00F151D4">
              <w:rPr>
                <w:rFonts w:ascii="Arial" w:hAnsi="Arial" w:cs="Arial"/>
                <w:sz w:val="22"/>
                <w:szCs w:val="22"/>
              </w:rPr>
              <w:t>Completion date</w:t>
            </w:r>
          </w:p>
        </w:tc>
      </w:tr>
      <w:tr w:rsidR="00F151D4" w:rsidRPr="00F151D4" w14:paraId="09BF4589" w14:textId="77777777" w:rsidTr="00F151D4">
        <w:tc>
          <w:tcPr>
            <w:tcW w:w="985" w:type="dxa"/>
          </w:tcPr>
          <w:p w14:paraId="661BD2D7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</w:tcPr>
          <w:p w14:paraId="54746F93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2" w:type="dxa"/>
          </w:tcPr>
          <w:p w14:paraId="11E942B5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CB0C73C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64D82C73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542E27F2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51D4" w:rsidRPr="00F151D4" w14:paraId="5BF5886A" w14:textId="77777777" w:rsidTr="00F151D4">
        <w:tc>
          <w:tcPr>
            <w:tcW w:w="985" w:type="dxa"/>
          </w:tcPr>
          <w:p w14:paraId="09DB4B5A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</w:tcPr>
          <w:p w14:paraId="3CE6601C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2" w:type="dxa"/>
          </w:tcPr>
          <w:p w14:paraId="6D01F6A6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F602E65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27E0CEB5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7666AC86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51D4" w:rsidRPr="00F151D4" w14:paraId="314AA8AF" w14:textId="77777777" w:rsidTr="00F151D4">
        <w:tc>
          <w:tcPr>
            <w:tcW w:w="985" w:type="dxa"/>
          </w:tcPr>
          <w:p w14:paraId="757F2E89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</w:tcPr>
          <w:p w14:paraId="2B292A6B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2" w:type="dxa"/>
          </w:tcPr>
          <w:p w14:paraId="654D0D08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7F9D4A8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26600853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4D2C2315" w14:textId="77777777" w:rsidR="00546B1A" w:rsidRPr="00F151D4" w:rsidRDefault="00546B1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360310" w14:textId="77777777" w:rsidR="00F151D4" w:rsidRPr="00F151D4" w:rsidRDefault="00F151D4" w:rsidP="00F151D4">
      <w:pPr>
        <w:rPr>
          <w:rFonts w:ascii="Arial" w:hAnsi="Arial" w:cs="Arial"/>
          <w:sz w:val="22"/>
          <w:szCs w:val="22"/>
        </w:rPr>
      </w:pPr>
    </w:p>
    <w:p w14:paraId="6B204D35" w14:textId="77777777" w:rsidR="00F151D4" w:rsidRPr="00F151D4" w:rsidRDefault="00F151D4" w:rsidP="00F151D4">
      <w:pPr>
        <w:rPr>
          <w:rFonts w:ascii="Arial" w:hAnsi="Arial" w:cs="Arial"/>
          <w:sz w:val="22"/>
          <w:szCs w:val="22"/>
        </w:rPr>
      </w:pPr>
      <w:r w:rsidRPr="00F151D4">
        <w:rPr>
          <w:rFonts w:ascii="Arial" w:hAnsi="Arial" w:cs="Arial"/>
          <w:sz w:val="22"/>
          <w:szCs w:val="22"/>
        </w:rPr>
        <w:t>The following are great resources for the identifications, evaluation and management of PHS hazards:</w:t>
      </w:r>
    </w:p>
    <w:p w14:paraId="513EE6A2" w14:textId="77777777" w:rsidR="00F151D4" w:rsidRPr="00F151D4" w:rsidRDefault="00F151D4" w:rsidP="00F151D4">
      <w:pPr>
        <w:rPr>
          <w:rFonts w:ascii="Arial" w:hAnsi="Arial" w:cs="Arial"/>
          <w:sz w:val="22"/>
          <w:szCs w:val="22"/>
        </w:rPr>
      </w:pPr>
    </w:p>
    <w:p w14:paraId="7522C2C5" w14:textId="77777777" w:rsidR="00F151D4" w:rsidRPr="00F151D4" w:rsidRDefault="00F151D4" w:rsidP="00F151D4">
      <w:pPr>
        <w:numPr>
          <w:ilvl w:val="0"/>
          <w:numId w:val="3"/>
        </w:numPr>
        <w:rPr>
          <w:rFonts w:ascii="Arial" w:eastAsia="Times New Roman" w:hAnsi="Arial" w:cs="Arial"/>
          <w:sz w:val="22"/>
          <w:szCs w:val="22"/>
        </w:rPr>
      </w:pPr>
      <w:r w:rsidRPr="00F151D4">
        <w:rPr>
          <w:rFonts w:ascii="Arial" w:eastAsia="Times New Roman" w:hAnsi="Arial" w:cs="Arial"/>
          <w:sz w:val="22"/>
          <w:szCs w:val="22"/>
        </w:rPr>
        <w:t>ISO 45003:2021</w:t>
      </w:r>
    </w:p>
    <w:p w14:paraId="5196EB50" w14:textId="77777777" w:rsidR="00F151D4" w:rsidRDefault="00F151D4" w:rsidP="00F151D4">
      <w:pPr>
        <w:rPr>
          <w:rFonts w:ascii="Arial" w:hAnsi="Arial" w:cs="Arial"/>
          <w:sz w:val="22"/>
          <w:szCs w:val="22"/>
        </w:rPr>
      </w:pPr>
    </w:p>
    <w:p w14:paraId="25CE3DB2" w14:textId="77777777" w:rsidR="00F151D4" w:rsidRDefault="00F151D4" w:rsidP="00F151D4">
      <w:pPr>
        <w:numPr>
          <w:ilvl w:val="0"/>
          <w:numId w:val="3"/>
        </w:numPr>
        <w:rPr>
          <w:rFonts w:ascii="Arial" w:eastAsia="Times New Roman" w:hAnsi="Arial" w:cs="Arial"/>
          <w:sz w:val="22"/>
          <w:szCs w:val="22"/>
        </w:rPr>
      </w:pPr>
      <w:hyperlink r:id="rId5" w:history="1">
        <w:r>
          <w:rPr>
            <w:rStyle w:val="Hyperlink"/>
            <w:rFonts w:ascii="Arial" w:eastAsia="Times New Roman" w:hAnsi="Arial" w:cs="Arial"/>
            <w:color w:val="0563C1"/>
            <w:sz w:val="22"/>
            <w:szCs w:val="22"/>
          </w:rPr>
          <w:t>https://www.worksafe.qld.gov.au/__data/assets/pdf_file/0025/104857/managing-the-risk-of-psychosocial-hazards-at-work-code-of-practice.pdf</w:t>
        </w:r>
      </w:hyperlink>
    </w:p>
    <w:p w14:paraId="7421A323" w14:textId="77777777" w:rsidR="00F151D4" w:rsidRDefault="00F151D4" w:rsidP="00F151D4">
      <w:pPr>
        <w:rPr>
          <w:rFonts w:ascii="Arial" w:hAnsi="Arial" w:cs="Arial"/>
          <w:sz w:val="22"/>
          <w:szCs w:val="22"/>
        </w:rPr>
      </w:pPr>
    </w:p>
    <w:p w14:paraId="497C6EE0" w14:textId="77777777" w:rsidR="00F151D4" w:rsidRDefault="00F151D4" w:rsidP="00F151D4">
      <w:pPr>
        <w:numPr>
          <w:ilvl w:val="0"/>
          <w:numId w:val="3"/>
        </w:numPr>
        <w:rPr>
          <w:rFonts w:ascii="Arial" w:eastAsia="Times New Roman" w:hAnsi="Arial" w:cs="Arial"/>
          <w:sz w:val="22"/>
          <w:szCs w:val="22"/>
        </w:rPr>
      </w:pPr>
      <w:hyperlink r:id="rId6" w:history="1">
        <w:r>
          <w:rPr>
            <w:rStyle w:val="Hyperlink"/>
            <w:rFonts w:ascii="Arial" w:eastAsia="Times New Roman" w:hAnsi="Arial" w:cs="Arial"/>
            <w:color w:val="0563C1"/>
            <w:sz w:val="22"/>
            <w:szCs w:val="22"/>
          </w:rPr>
          <w:t>https://www.workplacestrategiesformentalhealth.com/</w:t>
        </w:r>
      </w:hyperlink>
    </w:p>
    <w:p w14:paraId="45B65646" w14:textId="77777777" w:rsidR="00F151D4" w:rsidRDefault="00F151D4" w:rsidP="00F151D4">
      <w:pPr>
        <w:rPr>
          <w:rFonts w:ascii="Arial" w:hAnsi="Arial" w:cs="Arial"/>
          <w:sz w:val="22"/>
          <w:szCs w:val="22"/>
        </w:rPr>
      </w:pPr>
    </w:p>
    <w:p w14:paraId="7F189F88" w14:textId="77777777" w:rsidR="00F151D4" w:rsidRPr="007B698C" w:rsidRDefault="00F151D4" w:rsidP="00F151D4">
      <w:pPr>
        <w:numPr>
          <w:ilvl w:val="0"/>
          <w:numId w:val="3"/>
        </w:numPr>
        <w:rPr>
          <w:rStyle w:val="Hyperlink"/>
          <w:rFonts w:ascii="Arial" w:eastAsia="Times New Roman" w:hAnsi="Arial" w:cs="Arial"/>
          <w:color w:val="auto"/>
          <w:sz w:val="22"/>
          <w:szCs w:val="22"/>
          <w:u w:val="none"/>
        </w:rPr>
      </w:pPr>
      <w:hyperlink r:id="rId7" w:history="1">
        <w:r>
          <w:rPr>
            <w:rStyle w:val="Hyperlink"/>
            <w:rFonts w:ascii="Arial" w:eastAsia="Times New Roman" w:hAnsi="Arial" w:cs="Arial"/>
            <w:color w:val="0563C1"/>
            <w:sz w:val="22"/>
            <w:szCs w:val="22"/>
          </w:rPr>
          <w:t>https://www.workplacestrategiesformentalhealth.com/resources/guarding-minds-at-work</w:t>
        </w:r>
      </w:hyperlink>
    </w:p>
    <w:p w14:paraId="6EAD1805" w14:textId="77777777" w:rsidR="00F151D4" w:rsidRDefault="00F151D4" w:rsidP="00F151D4">
      <w:pPr>
        <w:pStyle w:val="ListParagraph"/>
        <w:rPr>
          <w:rFonts w:ascii="Arial" w:eastAsia="Times New Roman" w:hAnsi="Arial" w:cs="Arial"/>
          <w:sz w:val="22"/>
          <w:szCs w:val="22"/>
        </w:rPr>
      </w:pPr>
    </w:p>
    <w:p w14:paraId="017F5C26" w14:textId="77777777" w:rsidR="00F151D4" w:rsidRDefault="00015C90" w:rsidP="00F151D4">
      <w:pPr>
        <w:numPr>
          <w:ilvl w:val="0"/>
          <w:numId w:val="3"/>
        </w:numPr>
        <w:rPr>
          <w:rFonts w:ascii="Arial" w:eastAsia="Times New Roman" w:hAnsi="Arial" w:cs="Arial"/>
          <w:sz w:val="22"/>
          <w:szCs w:val="22"/>
        </w:rPr>
      </w:pPr>
      <w:hyperlink r:id="rId8" w:history="1">
        <w:r w:rsidRPr="00347130">
          <w:rPr>
            <w:rStyle w:val="Hyperlink"/>
            <w:rFonts w:ascii="Arial" w:eastAsia="Times New Roman" w:hAnsi="Arial" w:cs="Arial"/>
            <w:sz w:val="22"/>
            <w:szCs w:val="22"/>
          </w:rPr>
          <w:t>https://www.ccohs.ca/workplace-mental-health-toolkit</w:t>
        </w:r>
      </w:hyperlink>
    </w:p>
    <w:p w14:paraId="0DFED9AD" w14:textId="77777777" w:rsidR="00015C90" w:rsidRDefault="00015C90" w:rsidP="00015C90">
      <w:pPr>
        <w:pStyle w:val="ListParagraph"/>
        <w:rPr>
          <w:rFonts w:ascii="Arial" w:eastAsia="Times New Roman" w:hAnsi="Arial" w:cs="Arial"/>
          <w:sz w:val="22"/>
          <w:szCs w:val="22"/>
        </w:rPr>
      </w:pPr>
    </w:p>
    <w:p w14:paraId="04F17A59" w14:textId="77777777" w:rsidR="00015C90" w:rsidRDefault="0092567E" w:rsidP="00F151D4">
      <w:pPr>
        <w:numPr>
          <w:ilvl w:val="0"/>
          <w:numId w:val="3"/>
        </w:numPr>
        <w:rPr>
          <w:rFonts w:ascii="Arial" w:eastAsia="Times New Roman" w:hAnsi="Arial" w:cs="Arial"/>
          <w:sz w:val="22"/>
          <w:szCs w:val="22"/>
        </w:rPr>
      </w:pPr>
      <w:hyperlink r:id="rId9" w:history="1">
        <w:r w:rsidRPr="00347130">
          <w:rPr>
            <w:rStyle w:val="Hyperlink"/>
            <w:rFonts w:ascii="Arial" w:eastAsia="Times New Roman" w:hAnsi="Arial" w:cs="Arial"/>
            <w:sz w:val="22"/>
            <w:szCs w:val="22"/>
          </w:rPr>
          <w:t>https://www.csagroup.orgarticle/can-csa-z1003-13-bnq-9700-803-2013-r2022-psychological-health-and-safety-in-the-workplace/?srsltid=AfmBOorENxb0INdxdNmrs7ZLxUJD3ekJOtFswWnrIJ-jv2XZ8PstcZxH</w:t>
        </w:r>
      </w:hyperlink>
    </w:p>
    <w:p w14:paraId="3EEF65A9" w14:textId="77777777" w:rsidR="0092567E" w:rsidRDefault="0092567E" w:rsidP="0092567E">
      <w:pPr>
        <w:pStyle w:val="ListParagraph"/>
        <w:rPr>
          <w:rFonts w:ascii="Arial" w:eastAsia="Times New Roman" w:hAnsi="Arial" w:cs="Arial"/>
          <w:sz w:val="22"/>
          <w:szCs w:val="22"/>
        </w:rPr>
      </w:pPr>
    </w:p>
    <w:p w14:paraId="011BE4DE" w14:textId="77777777" w:rsidR="0092567E" w:rsidRDefault="0092567E" w:rsidP="0092567E">
      <w:pPr>
        <w:ind w:left="720"/>
        <w:rPr>
          <w:rFonts w:ascii="Arial" w:eastAsia="Times New Roman" w:hAnsi="Arial" w:cs="Arial"/>
          <w:sz w:val="22"/>
          <w:szCs w:val="22"/>
        </w:rPr>
      </w:pPr>
    </w:p>
    <w:p w14:paraId="2627D9FD" w14:textId="77777777" w:rsidR="00546B1A" w:rsidRDefault="00546B1A"/>
    <w:sectPr w:rsidR="00546B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A4E4C"/>
    <w:multiLevelType w:val="multilevel"/>
    <w:tmpl w:val="2DD4A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345BB9"/>
    <w:multiLevelType w:val="hybridMultilevel"/>
    <w:tmpl w:val="2D7A31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E7D54A3"/>
    <w:multiLevelType w:val="hybridMultilevel"/>
    <w:tmpl w:val="4DC03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68494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577063">
    <w:abstractNumId w:val="1"/>
  </w:num>
  <w:num w:numId="3" w16cid:durableId="19161605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7B"/>
    <w:rsid w:val="00015C90"/>
    <w:rsid w:val="000B3140"/>
    <w:rsid w:val="000D6FE5"/>
    <w:rsid w:val="00182B85"/>
    <w:rsid w:val="002E27DB"/>
    <w:rsid w:val="003C0A84"/>
    <w:rsid w:val="003E4A05"/>
    <w:rsid w:val="00452A89"/>
    <w:rsid w:val="00513340"/>
    <w:rsid w:val="00546B1A"/>
    <w:rsid w:val="005F5E50"/>
    <w:rsid w:val="00661109"/>
    <w:rsid w:val="007640A1"/>
    <w:rsid w:val="007A5CC1"/>
    <w:rsid w:val="007B698C"/>
    <w:rsid w:val="0081457B"/>
    <w:rsid w:val="00861748"/>
    <w:rsid w:val="008B473C"/>
    <w:rsid w:val="0092567E"/>
    <w:rsid w:val="00967CB1"/>
    <w:rsid w:val="00A42701"/>
    <w:rsid w:val="00A4541B"/>
    <w:rsid w:val="00B44066"/>
    <w:rsid w:val="00BE6C6C"/>
    <w:rsid w:val="00C91740"/>
    <w:rsid w:val="00DB1981"/>
    <w:rsid w:val="00E81C75"/>
    <w:rsid w:val="00F151D4"/>
    <w:rsid w:val="00F4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5865E"/>
  <w15:chartTrackingRefBased/>
  <w15:docId w15:val="{C224158B-2B1B-45D5-A85E-B4CD41D10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457B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457B"/>
    <w:rPr>
      <w:color w:val="0000FF"/>
      <w:u w:val="single"/>
    </w:rPr>
  </w:style>
  <w:style w:type="table" w:styleId="TableGrid">
    <w:name w:val="Table Grid"/>
    <w:basedOn w:val="TableNormal"/>
    <w:uiPriority w:val="39"/>
    <w:rsid w:val="008B4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B698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15C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54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cohs.ca/workplace-mental-health-toolk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orkplacestrategiesformentalhealth.com/resources/guarding-minds-at-wor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orkplacestrategiesformentalhealth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worksafe.qld.gov.au/__data/assets/pdf_file/0025/104857/managing-the-risk-of-psychosocial-hazards-at-work-code-of-practice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sagroup.orgarticle/can-csa-z1003-13-bnq-9700-803-2013-r2022-psychological-health-and-safety-in-the-workplace/?srsltid=AfmBOorENxb0INdxdNmrs7ZLxUJD3ekJOtFswWnrIJ-jv2XZ8PstcZx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WorkplaceNL</Company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Barrett-Brinson, Cathy</dc:creator>
  <cp:keywords/>
  <dc:description/>
  <cp:lastModifiedBy>Philpott, Sheri</cp:lastModifiedBy>
  <cp:revision>4</cp:revision>
  <dcterms:created xsi:type="dcterms:W3CDTF">2025-02-28T17:54:00Z</dcterms:created>
  <dcterms:modified xsi:type="dcterms:W3CDTF">2025-04-08T16:52:00Z</dcterms:modified>
</cp:coreProperties>
</file>